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226" w:type="dxa"/>
        <w:tblCellSpacing w:w="7" w:type="dxa"/>
        <w:tblInd w:w="0" w:type="dxa"/>
        <w:shd w:val="clear" w:color="auto" w:fill="FFFFFF"/>
        <w:tblLayout w:type="fixed"/>
        <w:tblCellMar>
          <w:top w:w="30" w:type="dxa"/>
          <w:left w:w="30" w:type="dxa"/>
          <w:bottom w:w="30" w:type="dxa"/>
          <w:right w:w="30" w:type="dxa"/>
        </w:tblCellMar>
      </w:tblPr>
      <w:tblGrid>
        <w:gridCol w:w="8226"/>
      </w:tblGrid>
      <w:tr>
        <w:tblPrEx>
          <w:shd w:val="clear" w:color="auto" w:fill="FFFFFF"/>
          <w:tblLayout w:type="fixed"/>
          <w:tblCellMar>
            <w:top w:w="30" w:type="dxa"/>
            <w:left w:w="30" w:type="dxa"/>
            <w:bottom w:w="30" w:type="dxa"/>
            <w:right w:w="30" w:type="dxa"/>
          </w:tblCellMar>
        </w:tblPrEx>
        <w:trPr>
          <w:trHeight w:val="600" w:hRule="atLeast"/>
          <w:tblCellSpacing w:w="7" w:type="dxa"/>
        </w:trPr>
        <w:tc>
          <w:tcPr>
            <w:tcW w:w="8196" w:type="dxa"/>
            <w:shd w:val="clear" w:color="auto" w:fill="F0F0F0"/>
            <w:vAlign w:val="center"/>
          </w:tcPr>
          <w:p>
            <w:pPr>
              <w:keepNext w:val="0"/>
              <w:keepLines w:val="0"/>
              <w:widowControl/>
              <w:suppressLineNumbers w:val="0"/>
              <w:spacing w:line="270" w:lineRule="atLeast"/>
              <w:ind w:left="0" w:firstLine="0"/>
              <w:jc w:val="center"/>
              <w:rPr>
                <w:rFonts w:hint="eastAsia" w:ascii="宋体" w:hAnsi="宋体" w:eastAsia="宋体" w:cs="宋体"/>
                <w:caps w:val="0"/>
                <w:spacing w:val="0"/>
                <w:sz w:val="18"/>
                <w:szCs w:val="18"/>
              </w:rPr>
            </w:pPr>
            <w:bookmarkStart w:id="0" w:name="_GoBack"/>
            <w:r>
              <w:rPr>
                <w:rFonts w:hint="eastAsia" w:ascii="宋体" w:hAnsi="宋体" w:eastAsia="宋体" w:cs="宋体"/>
                <w:b/>
                <w:caps w:val="0"/>
                <w:snapToGrid w:val="0"/>
                <w:spacing w:val="0"/>
                <w:w w:val="93"/>
                <w:kern w:val="0"/>
                <w:sz w:val="27"/>
                <w:szCs w:val="27"/>
                <w:lang w:val="en-US" w:eastAsia="zh-CN" w:bidi="ar"/>
              </w:rPr>
              <w:t>突发公共卫生事件期间外国专家工作应急办法</w:t>
            </w:r>
            <w:bookmarkEnd w:id="0"/>
          </w:p>
        </w:tc>
      </w:tr>
      <w:tr>
        <w:tblPrEx>
          <w:shd w:val="clear" w:color="auto" w:fill="FFFFFF"/>
          <w:tblLayout w:type="fixed"/>
          <w:tblCellMar>
            <w:top w:w="30" w:type="dxa"/>
            <w:left w:w="30" w:type="dxa"/>
            <w:bottom w:w="30" w:type="dxa"/>
            <w:right w:w="30" w:type="dxa"/>
          </w:tblCellMar>
        </w:tblPrEx>
        <w:trPr>
          <w:tblCellSpacing w:w="7" w:type="dxa"/>
        </w:trPr>
        <w:tc>
          <w:tcPr>
            <w:tcW w:w="8196" w:type="dxa"/>
            <w:shd w:val="clear" w:color="auto" w:fill="F0F0F0"/>
            <w:vAlign w:val="center"/>
          </w:tcPr>
          <w:p>
            <w:pPr>
              <w:keepNext w:val="0"/>
              <w:keepLines w:val="0"/>
              <w:widowControl/>
              <w:suppressLineNumbers w:val="0"/>
              <w:spacing w:line="270" w:lineRule="atLeast"/>
              <w:ind w:left="0" w:firstLine="0"/>
              <w:jc w:val="center"/>
              <w:rPr>
                <w:rFonts w:hint="eastAsia" w:ascii="宋体" w:hAnsi="宋体" w:eastAsia="宋体" w:cs="宋体"/>
                <w:caps w:val="0"/>
                <w:spacing w:val="0"/>
                <w:sz w:val="18"/>
                <w:szCs w:val="18"/>
              </w:rPr>
            </w:pPr>
            <w:r>
              <w:rPr>
                <w:rFonts w:hint="eastAsia" w:ascii="宋体" w:hAnsi="宋体" w:eastAsia="宋体" w:cs="宋体"/>
                <w:b/>
                <w:caps w:val="0"/>
                <w:snapToGrid w:val="0"/>
                <w:spacing w:val="0"/>
                <w:w w:val="93"/>
                <w:kern w:val="0"/>
                <w:sz w:val="18"/>
                <w:szCs w:val="18"/>
                <w:lang w:val="en-US" w:eastAsia="zh-CN" w:bidi="ar"/>
              </w:rPr>
              <w:t>          </w:t>
            </w:r>
          </w:p>
        </w:tc>
      </w:tr>
      <w:tr>
        <w:tblPrEx>
          <w:shd w:val="clear" w:color="auto" w:fill="FFFFFF"/>
          <w:tblLayout w:type="fixed"/>
          <w:tblCellMar>
            <w:top w:w="30" w:type="dxa"/>
            <w:left w:w="30" w:type="dxa"/>
            <w:bottom w:w="30" w:type="dxa"/>
            <w:right w:w="30" w:type="dxa"/>
          </w:tblCellMar>
        </w:tblPrEx>
        <w:trPr>
          <w:tblCellSpacing w:w="7" w:type="dxa"/>
        </w:trPr>
        <w:tc>
          <w:tcPr>
            <w:tcW w:w="8196" w:type="dxa"/>
            <w:shd w:val="clear" w:color="auto" w:fill="F0F0F0"/>
            <w:vAlign w:val="center"/>
          </w:tcPr>
          <w:tbl>
            <w:tblPr>
              <w:tblW w:w="8138" w:type="dxa"/>
              <w:tblCellSpacing w:w="37" w:type="dxa"/>
              <w:tblInd w:w="0" w:type="dxa"/>
              <w:shd w:val="clear"/>
              <w:tblLayout w:type="fixed"/>
              <w:tblCellMar>
                <w:top w:w="0" w:type="dxa"/>
                <w:left w:w="0" w:type="dxa"/>
                <w:bottom w:w="0" w:type="dxa"/>
                <w:right w:w="0" w:type="dxa"/>
              </w:tblCellMar>
            </w:tblPr>
            <w:tblGrid>
              <w:gridCol w:w="8138"/>
            </w:tblGrid>
            <w:tr>
              <w:tblPrEx>
                <w:shd w:val="clear"/>
                <w:tblLayout w:type="fixed"/>
                <w:tblCellMar>
                  <w:top w:w="0" w:type="dxa"/>
                  <w:left w:w="0" w:type="dxa"/>
                  <w:bottom w:w="0" w:type="dxa"/>
                  <w:right w:w="0" w:type="dxa"/>
                </w:tblCellMar>
              </w:tblPrEx>
              <w:trPr>
                <w:trHeight w:val="3001" w:hRule="atLeast"/>
                <w:tblCellSpacing w:w="37" w:type="dxa"/>
              </w:trPr>
              <w:tc>
                <w:tcPr>
                  <w:tcW w:w="7988" w:type="dxa"/>
                  <w:shd w:val="clear"/>
                  <w:vAlign w:val="top"/>
                </w:tcPr>
                <w:p>
                  <w:pPr>
                    <w:pStyle w:val="2"/>
                    <w:keepNext w:val="0"/>
                    <w:keepLines w:val="0"/>
                    <w:widowControl/>
                    <w:suppressLineNumbers w:val="0"/>
                    <w:spacing w:line="270" w:lineRule="atLeast"/>
                  </w:pPr>
                  <w:r>
                    <w:rPr>
                      <w:rFonts w:hint="eastAsia" w:ascii="宋体" w:hAnsi="宋体" w:eastAsia="宋体" w:cs="宋体"/>
                      <w:sz w:val="18"/>
                      <w:szCs w:val="18"/>
                    </w:rPr>
                    <w:t>第一条     为了消除突发公共卫生事件的危害，保障来华外国专家的身体健康、生命安全和切身利益，维护正常的引进国外智力工作的秩序，根据《突发公共卫生事件应急条例》，制定本办法。</w:t>
                  </w:r>
                  <w:r>
                    <w:rPr>
                      <w:rFonts w:hint="eastAsia" w:ascii="宋体" w:hAnsi="宋体" w:eastAsia="宋体" w:cs="宋体"/>
                      <w:sz w:val="18"/>
                      <w:szCs w:val="18"/>
                    </w:rPr>
                    <w:br w:type="textWrapping"/>
                  </w:r>
                  <w:r>
                    <w:rPr>
                      <w:rFonts w:hint="eastAsia" w:ascii="宋体" w:hAnsi="宋体" w:eastAsia="宋体" w:cs="宋体"/>
                      <w:sz w:val="18"/>
                      <w:szCs w:val="18"/>
                    </w:rPr>
                    <w:t>第二条     本办法所称突发公共卫生事件（以下简称突发事件），是指突然发生，造成或者可能造成社会公众健康严重损害的重大传染病疫情、群体性不明原因疾病、重大食物和职业中毒以及其他严重影响公众健康的事件。</w:t>
                  </w:r>
                  <w:r>
                    <w:rPr>
                      <w:rFonts w:hint="eastAsia" w:ascii="宋体" w:hAnsi="宋体" w:eastAsia="宋体" w:cs="宋体"/>
                      <w:sz w:val="18"/>
                      <w:szCs w:val="18"/>
                    </w:rPr>
                    <w:br w:type="textWrapping"/>
                  </w:r>
                  <w:r>
                    <w:rPr>
                      <w:rFonts w:hint="eastAsia" w:ascii="宋体" w:hAnsi="宋体" w:eastAsia="宋体" w:cs="宋体"/>
                      <w:sz w:val="18"/>
                      <w:szCs w:val="18"/>
                    </w:rPr>
                    <w:t>第三条     本办法所称来华外国专家（以下简称外国专家），是指在我国经济技术管理领域、教科文卫系统、外商投资企业、随引进项目合同和重点建设工程等工作的外国专家及香港特别行政区、澳门特别行政区和台湾地区专家。</w:t>
                  </w:r>
                  <w:r>
                    <w:rPr>
                      <w:rFonts w:hint="eastAsia" w:ascii="宋体" w:hAnsi="宋体" w:eastAsia="宋体" w:cs="宋体"/>
                      <w:sz w:val="18"/>
                      <w:szCs w:val="18"/>
                    </w:rPr>
                    <w:br w:type="textWrapping"/>
                  </w:r>
                  <w:r>
                    <w:rPr>
                      <w:rFonts w:hint="eastAsia" w:ascii="宋体" w:hAnsi="宋体" w:eastAsia="宋体" w:cs="宋体"/>
                      <w:sz w:val="18"/>
                      <w:szCs w:val="18"/>
                    </w:rPr>
                    <w:t>第四条     突发事件方生后，国家外国专家局设立全国突发事件外国专家工作应急处理领导小组，国家外国专家局领导担任组长；小组由国家外国专家局外国专家工作主管部门和有关部门组成，负责对全国外国专家工作应急处理的统一领导、统一指挥。</w:t>
                  </w:r>
                  <w:r>
                    <w:rPr>
                      <w:rFonts w:hint="eastAsia" w:ascii="宋体" w:hAnsi="宋体" w:eastAsia="宋体" w:cs="宋体"/>
                      <w:sz w:val="18"/>
                      <w:szCs w:val="18"/>
                    </w:rPr>
                    <w:br w:type="textWrapping"/>
                  </w:r>
                  <w:r>
                    <w:rPr>
                      <w:rFonts w:hint="eastAsia" w:ascii="宋体" w:hAnsi="宋体" w:eastAsia="宋体" w:cs="宋体"/>
                      <w:sz w:val="18"/>
                      <w:szCs w:val="18"/>
                    </w:rPr>
                    <w:t>第五条     突发事件发生后，省、自治区、直辖市外国专家工作归口管理部门成立地方突发事件外国专家工作应急处理领导小组，省、自治区、直辖市外国专家工作归口管理部门主要领导担任组长，负责领导、指挥本行政区域内外国专家工作应急处理工作。</w:t>
                  </w:r>
                  <w:r>
                    <w:rPr>
                      <w:rFonts w:hint="eastAsia" w:ascii="宋体" w:hAnsi="宋体" w:eastAsia="宋体" w:cs="宋体"/>
                      <w:sz w:val="18"/>
                      <w:szCs w:val="18"/>
                    </w:rPr>
                    <w:br w:type="textWrapping"/>
                  </w:r>
                  <w:r>
                    <w:rPr>
                      <w:rFonts w:hint="eastAsia" w:ascii="宋体" w:hAnsi="宋体" w:eastAsia="宋体" w:cs="宋体"/>
                      <w:sz w:val="18"/>
                      <w:szCs w:val="18"/>
                    </w:rPr>
                    <w:t>第六条     突发事件应急工作，应当遵循预防为主、常备不懈的方针，贯彻统一领导、分级负责、及时反应、措施果断、依靠科学、加强合作的原则。</w:t>
                  </w:r>
                  <w:r>
                    <w:rPr>
                      <w:rFonts w:hint="eastAsia" w:ascii="宋体" w:hAnsi="宋体" w:eastAsia="宋体" w:cs="宋体"/>
                      <w:sz w:val="18"/>
                      <w:szCs w:val="18"/>
                    </w:rPr>
                    <w:br w:type="textWrapping"/>
                  </w:r>
                  <w:r>
                    <w:rPr>
                      <w:rFonts w:hint="eastAsia" w:ascii="宋体" w:hAnsi="宋体" w:eastAsia="宋体" w:cs="宋体"/>
                      <w:sz w:val="18"/>
                      <w:szCs w:val="18"/>
                    </w:rPr>
                    <w:t>第七条     国家外国专家局外国专家工作主管部门按照分类指导、快速反应的要求，制定全国外国专家工作应急预案，报请国家外国专家局批准。省、自治区、直辖市外国专家工作归口管理部门根据全国外国专家工作应急预案，综合本地实际情况，制定本行政区域的外国专家工作应急预案。</w:t>
                  </w:r>
                  <w:r>
                    <w:rPr>
                      <w:rFonts w:hint="eastAsia" w:ascii="宋体" w:hAnsi="宋体" w:eastAsia="宋体" w:cs="宋体"/>
                      <w:sz w:val="18"/>
                      <w:szCs w:val="18"/>
                    </w:rPr>
                    <w:br w:type="textWrapping"/>
                  </w:r>
                  <w:r>
                    <w:rPr>
                      <w:rFonts w:hint="eastAsia" w:ascii="宋体" w:hAnsi="宋体" w:eastAsia="宋体" w:cs="宋体"/>
                      <w:sz w:val="18"/>
                      <w:szCs w:val="18"/>
                    </w:rPr>
                    <w:t>第八条     全国外国专家工作应急预案应当包括以下主要内容：（一）突发事件外国专家工作应急处理领导小组的组成和相关部门的职责；（二）突发事件期间外国专家工作信息的收集、分析、报告、通报制度；（三）突发事件期间外国专家工作的分级和应急处理工作方案。</w:t>
                  </w:r>
                  <w:r>
                    <w:rPr>
                      <w:rFonts w:hint="eastAsia" w:ascii="宋体" w:hAnsi="宋体" w:eastAsia="宋体" w:cs="宋体"/>
                      <w:sz w:val="18"/>
                      <w:szCs w:val="18"/>
                    </w:rPr>
                    <w:br w:type="textWrapping"/>
                  </w:r>
                  <w:r>
                    <w:rPr>
                      <w:rFonts w:hint="eastAsia" w:ascii="宋体" w:hAnsi="宋体" w:eastAsia="宋体" w:cs="宋体"/>
                      <w:sz w:val="18"/>
                      <w:szCs w:val="18"/>
                    </w:rPr>
                    <w:t>第九条     外国专家工作应急预案应当根据突发事件的变化和实施中发现的问题及时进行修订、补充。</w:t>
                  </w:r>
                  <w:r>
                    <w:rPr>
                      <w:rFonts w:hint="eastAsia" w:ascii="宋体" w:hAnsi="宋体" w:eastAsia="宋体" w:cs="宋体"/>
                      <w:sz w:val="18"/>
                      <w:szCs w:val="18"/>
                    </w:rPr>
                    <w:br w:type="textWrapping"/>
                  </w:r>
                  <w:r>
                    <w:rPr>
                      <w:rFonts w:hint="eastAsia" w:ascii="宋体" w:hAnsi="宋体" w:eastAsia="宋体" w:cs="宋体"/>
                      <w:sz w:val="18"/>
                      <w:szCs w:val="18"/>
                    </w:rPr>
                    <w:t>第十条     建立突发事件应急报告制度。国家外国专家局外国专家工作主管部门制定外国专家工作应急报告规范，建立突发事件期间外国专家信息报告系统。突发事件发生后，省、自治区、直辖市外国专家工作归口管理部门应当每天向国家外国专家局外国专家主管部门报告本行政区外国专家的健康、生活和工作情况。</w:t>
                  </w:r>
                  <w:r>
                    <w:rPr>
                      <w:rFonts w:hint="eastAsia" w:ascii="宋体" w:hAnsi="宋体" w:eastAsia="宋体" w:cs="宋体"/>
                      <w:sz w:val="18"/>
                      <w:szCs w:val="18"/>
                    </w:rPr>
                    <w:br w:type="textWrapping"/>
                  </w:r>
                  <w:r>
                    <w:rPr>
                      <w:rFonts w:hint="eastAsia" w:ascii="宋体" w:hAnsi="宋体" w:eastAsia="宋体" w:cs="宋体"/>
                      <w:sz w:val="18"/>
                      <w:szCs w:val="18"/>
                    </w:rPr>
                    <w:t>第十一条    任何单位和个人对突发事件期间外国专家的情况，不得隐瞒、缓报、谎报或者授意他人隐瞒、缓报、谎报，违者将按《突发公共卫生事件应急条例》的有关规定处理。</w:t>
                  </w:r>
                  <w:r>
                    <w:rPr>
                      <w:rFonts w:hint="eastAsia" w:ascii="宋体" w:hAnsi="宋体" w:eastAsia="宋体" w:cs="宋体"/>
                      <w:sz w:val="18"/>
                      <w:szCs w:val="18"/>
                    </w:rPr>
                    <w:br w:type="textWrapping"/>
                  </w:r>
                  <w:r>
                    <w:rPr>
                      <w:rFonts w:hint="eastAsia" w:ascii="宋体" w:hAnsi="宋体" w:eastAsia="宋体" w:cs="宋体"/>
                      <w:sz w:val="18"/>
                      <w:szCs w:val="18"/>
                    </w:rPr>
                    <w:t>第十二条    建立突发事件的信息通报制度。国家外国专家工作主管负责向来华外国专家和向我国派遣外国专家的专家组织通报突发事件和来华外国专家的信息。必要时，可以授权省、自治区、直辖市外国专家工作归口管理部门向来华外国专家和向我国派遣外国专家的专家组织通报本行政区域内突发事件和外国专家的信息。</w:t>
                  </w:r>
                  <w:r>
                    <w:rPr>
                      <w:rFonts w:hint="eastAsia" w:ascii="宋体" w:hAnsi="宋体" w:eastAsia="宋体" w:cs="宋体"/>
                      <w:sz w:val="18"/>
                      <w:szCs w:val="18"/>
                    </w:rPr>
                    <w:br w:type="textWrapping"/>
                  </w:r>
                  <w:r>
                    <w:rPr>
                      <w:rFonts w:hint="eastAsia" w:ascii="宋体" w:hAnsi="宋体" w:eastAsia="宋体" w:cs="宋体"/>
                      <w:sz w:val="18"/>
                      <w:szCs w:val="18"/>
                    </w:rPr>
                    <w:t>第十三条    突发事件发生后，国家外国专家局外国专家工作主管部门应当组织专家对突发事件对外国专家工作的影响进行综合评估，提出是否启动外国专家工作应急预案的建议。</w:t>
                  </w:r>
                  <w:r>
                    <w:rPr>
                      <w:rFonts w:hint="eastAsia" w:ascii="宋体" w:hAnsi="宋体" w:eastAsia="宋体" w:cs="宋体"/>
                      <w:sz w:val="18"/>
                      <w:szCs w:val="18"/>
                    </w:rPr>
                    <w:br w:type="textWrapping"/>
                  </w:r>
                  <w:r>
                    <w:rPr>
                      <w:rFonts w:hint="eastAsia" w:ascii="宋体" w:hAnsi="宋体" w:eastAsia="宋体" w:cs="宋体"/>
                      <w:sz w:val="18"/>
                      <w:szCs w:val="18"/>
                    </w:rPr>
                    <w:t>第十四条    在全国范围内或者跨省、自治区、直辖市范围内启动全国外国专家工作应急预案，由国家外国专家工作主管部门报国家外国专家局批准后实施。省、自治区、直辖市启动外国专家工作应急预案，由省、自治区、直辖市外国专家工作归口管理决定，并向国家外国专家局报告。</w:t>
                  </w:r>
                  <w:r>
                    <w:rPr>
                      <w:rFonts w:hint="eastAsia" w:ascii="宋体" w:hAnsi="宋体" w:eastAsia="宋体" w:cs="宋体"/>
                      <w:sz w:val="18"/>
                      <w:szCs w:val="18"/>
                    </w:rPr>
                    <w:br w:type="textWrapping"/>
                  </w:r>
                  <w:r>
                    <w:rPr>
                      <w:rFonts w:hint="eastAsia" w:ascii="宋体" w:hAnsi="宋体" w:eastAsia="宋体" w:cs="宋体"/>
                      <w:sz w:val="18"/>
                      <w:szCs w:val="18"/>
                    </w:rPr>
                    <w:t>第十五条    全国突发事件外国专家工作应急处理领导小组对突发事件应急处理工作进行督察和指导，地方各级外国专家工作归口管理部门及其有关部门应当予以配合。省、自治区、直辖市突发事件外国专家工作应急处理领导小组对本行政区域内突发事件应急处理工作进行督察和指导。</w:t>
                  </w:r>
                  <w:r>
                    <w:rPr>
                      <w:rFonts w:hint="eastAsia" w:ascii="宋体" w:hAnsi="宋体" w:eastAsia="宋体" w:cs="宋体"/>
                      <w:sz w:val="18"/>
                      <w:szCs w:val="18"/>
                    </w:rPr>
                    <w:br w:type="textWrapping"/>
                  </w:r>
                  <w:r>
                    <w:rPr>
                      <w:rFonts w:hint="eastAsia" w:ascii="宋体" w:hAnsi="宋体" w:eastAsia="宋体" w:cs="宋体"/>
                      <w:sz w:val="18"/>
                      <w:szCs w:val="18"/>
                    </w:rPr>
                    <w:t>第十六条    应急预案启动前，各级外国专家工作归口管理部门应当根据突发事件的实际情况，做好应急处理准备，采取必要的应急措施。应急预案启动后，突发事件发生地的外国专家工作归口管理部门，应当根据预案规定的职责要求，服从突发事件应急处理领导小组的统一指挥，立即到达规定岗位，采取有关的控制措施。</w:t>
                  </w:r>
                  <w:r>
                    <w:rPr>
                      <w:rFonts w:hint="eastAsia" w:ascii="宋体" w:hAnsi="宋体" w:eastAsia="宋体" w:cs="宋体"/>
                      <w:sz w:val="18"/>
                      <w:szCs w:val="18"/>
                    </w:rPr>
                    <w:br w:type="textWrapping"/>
                  </w:r>
                  <w:r>
                    <w:rPr>
                      <w:rFonts w:hint="eastAsia" w:ascii="宋体" w:hAnsi="宋体" w:eastAsia="宋体" w:cs="宋体"/>
                      <w:sz w:val="18"/>
                      <w:szCs w:val="18"/>
                    </w:rPr>
                    <w:t>第十七条    发生其他突发事件，外国专家应急工作参照本办法执行。</w:t>
                  </w:r>
                  <w:r>
                    <w:rPr>
                      <w:rFonts w:hint="eastAsia" w:ascii="宋体" w:hAnsi="宋体" w:eastAsia="宋体" w:cs="宋体"/>
                      <w:sz w:val="18"/>
                      <w:szCs w:val="18"/>
                    </w:rPr>
                    <w:br w:type="textWrapping"/>
                  </w:r>
                  <w:r>
                    <w:rPr>
                      <w:rFonts w:hint="eastAsia" w:ascii="宋体" w:hAnsi="宋体" w:eastAsia="宋体" w:cs="宋体"/>
                      <w:sz w:val="18"/>
                      <w:szCs w:val="18"/>
                    </w:rPr>
                    <w:t>第十八条    本办法由国家外国专家局负责解释。</w:t>
                  </w:r>
                </w:p>
              </w:tc>
            </w:tr>
          </w:tbl>
          <w:p>
            <w:pPr>
              <w:spacing w:line="270" w:lineRule="atLeast"/>
              <w:rPr>
                <w:rFonts w:hint="eastAsia" w:ascii="宋体" w:hAnsi="宋体" w:eastAsia="宋体" w:cs="宋体"/>
                <w:caps w:val="0"/>
                <w:spacing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F2CA4"/>
    <w:rsid w:val="17FF2CA4"/>
    <w:rsid w:val="712A0B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b/>
      <w:snapToGrid w:val="0"/>
      <w:w w:val="93"/>
      <w:kern w:val="0"/>
      <w:sz w:val="28"/>
      <w:szCs w:val="28"/>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2018-12-04T02:32:00Z</dcterms:created>
  <dc:creator>Administrator</dc:creator>
  <cp:lastModifiedBy>Administrator</cp:lastModifiedBy>
  <dcterms:modified xsi:type="dcterms:W3CDTF">2018-12-04T02:32:47Z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